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_GB2312" w:hAnsi="??_GB2312" w:eastAsia="宋体" w:cs="??_GB2312"/>
          <w:b/>
          <w:color w:val="000000"/>
          <w:kern w:val="0"/>
          <w:sz w:val="44"/>
          <w:szCs w:val="44"/>
        </w:rPr>
      </w:pPr>
      <w:bookmarkStart w:id="0" w:name="_GoBack"/>
      <w:bookmarkEnd w:id="0"/>
      <w:r>
        <w:rPr>
          <w:rFonts w:hint="eastAsia" w:ascii="仿宋" w:hAnsi="仿宋" w:eastAsia="仿宋" w:cs="宋体"/>
          <w:b/>
          <w:color w:val="000000"/>
          <w:kern w:val="0"/>
          <w:sz w:val="44"/>
          <w:szCs w:val="44"/>
        </w:rPr>
        <w:t>物业服务企业信用评分标准</w:t>
      </w:r>
    </w:p>
    <w:p>
      <w:pPr>
        <w:widowControl/>
        <w:spacing w:line="300" w:lineRule="exact"/>
        <w:jc w:val="left"/>
        <w:rPr>
          <w:rFonts w:ascii="仿宋" w:hAnsi="仿宋" w:eastAsia="仿宋" w:cs="仿宋"/>
          <w:sz w:val="32"/>
          <w:szCs w:val="32"/>
        </w:rPr>
      </w:pPr>
      <w:r>
        <w:rPr>
          <w:rFonts w:hint="eastAsia" w:ascii="仿宋" w:hAnsi="仿宋" w:eastAsia="仿宋" w:cs="仿宋"/>
          <w:sz w:val="32"/>
          <w:szCs w:val="32"/>
        </w:rPr>
        <w:t>附件1</w:t>
      </w:r>
    </w:p>
    <w:p>
      <w:pPr>
        <w:widowControl/>
        <w:spacing w:line="360" w:lineRule="exact"/>
        <w:jc w:val="left"/>
        <w:rPr>
          <w:rFonts w:ascii="宋体" w:hAnsi="宋体" w:eastAsia="宋体" w:cs="宋体"/>
          <w:sz w:val="36"/>
          <w:szCs w:val="36"/>
        </w:rPr>
      </w:pPr>
    </w:p>
    <w:p>
      <w:pPr>
        <w:widowControl/>
        <w:spacing w:line="360" w:lineRule="exact"/>
        <w:jc w:val="center"/>
        <w:rPr>
          <w:rFonts w:ascii="宋体" w:hAnsi="宋体" w:eastAsia="宋体" w:cs="宋体"/>
          <w:b/>
          <w:bCs/>
          <w:sz w:val="36"/>
          <w:szCs w:val="36"/>
        </w:rPr>
      </w:pPr>
      <w:r>
        <w:rPr>
          <w:rFonts w:hint="eastAsia" w:ascii="宋体" w:hAnsi="宋体" w:eastAsia="宋体" w:cs="宋体"/>
          <w:b/>
          <w:bCs/>
          <w:sz w:val="36"/>
          <w:szCs w:val="36"/>
        </w:rPr>
        <w:t>鄂尔多斯市物业服务企业信用标准评分表（90分）</w:t>
      </w:r>
    </w:p>
    <w:p>
      <w:pPr>
        <w:widowControl/>
        <w:spacing w:line="360" w:lineRule="exact"/>
        <w:jc w:val="left"/>
        <w:rPr>
          <w:rFonts w:ascii="仿宋" w:hAnsi="仿宋" w:eastAsia="仿宋" w:cs="仿宋"/>
          <w:b/>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967"/>
        <w:gridCol w:w="361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信用标准信息</w:t>
            </w:r>
          </w:p>
        </w:tc>
        <w:tc>
          <w:tcPr>
            <w:tcW w:w="3615"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22" w:type="dxa"/>
            <w:gridSpan w:val="5"/>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企业基础信用信息标准（50分）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企业注册      信息（30分）</w:t>
            </w:r>
          </w:p>
        </w:tc>
        <w:tc>
          <w:tcPr>
            <w:tcW w:w="3615"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按信用系统规定内容完整、准确、及时填报相关信息，得初始赋分30分；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29" w:type="dxa"/>
            <w:vMerge w:val="restart"/>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080" w:type="dxa"/>
            <w:vMerge w:val="restart"/>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企业人员信息</w:t>
            </w:r>
          </w:p>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（20分）</w:t>
            </w:r>
          </w:p>
        </w:tc>
        <w:tc>
          <w:tcPr>
            <w:tcW w:w="967"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企业固定人员数（12分）</w:t>
            </w:r>
          </w:p>
        </w:tc>
        <w:tc>
          <w:tcPr>
            <w:tcW w:w="3615"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按信用系统规定内容完整、准确、及时填报相关信息；填报低于50人得8分，50—100人得10分，100人以上得12分；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以缴纳保险人数为准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29" w:type="dxa"/>
            <w:vMerge w:val="continue"/>
            <w:vAlign w:val="center"/>
          </w:tcPr>
          <w:p>
            <w:pPr>
              <w:widowControl/>
              <w:spacing w:line="300" w:lineRule="exact"/>
              <w:jc w:val="center"/>
              <w:rPr>
                <w:rFonts w:ascii="宋体" w:hAnsi="宋体" w:eastAsia="宋体" w:cs="宋体"/>
                <w:bCs/>
                <w:kern w:val="0"/>
                <w:sz w:val="24"/>
                <w:szCs w:val="24"/>
              </w:rPr>
            </w:pPr>
          </w:p>
        </w:tc>
        <w:tc>
          <w:tcPr>
            <w:tcW w:w="1080" w:type="dxa"/>
            <w:vMerge w:val="continue"/>
            <w:vAlign w:val="center"/>
          </w:tcPr>
          <w:p>
            <w:pPr>
              <w:widowControl/>
              <w:spacing w:line="300" w:lineRule="exact"/>
              <w:jc w:val="center"/>
              <w:rPr>
                <w:rFonts w:ascii="宋体" w:hAnsi="宋体" w:eastAsia="宋体" w:cs="宋体"/>
                <w:bCs/>
                <w:kern w:val="0"/>
                <w:sz w:val="24"/>
                <w:szCs w:val="24"/>
              </w:rPr>
            </w:pPr>
          </w:p>
        </w:tc>
        <w:tc>
          <w:tcPr>
            <w:tcW w:w="967"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企业管理技术人员数（4分）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有物业管理专业人员及工程、管理、经济等相关专业类的专职管理和技术人员（其中中级以上职称人员）10人（5人）以上的，得2分；20人（10人）以上的，得3分；30人（15人）以上的，得4分；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29" w:type="dxa"/>
            <w:vMerge w:val="continue"/>
            <w:vAlign w:val="center"/>
          </w:tcPr>
          <w:p>
            <w:pPr>
              <w:widowControl/>
              <w:spacing w:line="300" w:lineRule="exact"/>
              <w:jc w:val="center"/>
              <w:rPr>
                <w:rFonts w:ascii="宋体" w:hAnsi="宋体" w:eastAsia="宋体" w:cs="宋体"/>
                <w:bCs/>
                <w:kern w:val="0"/>
                <w:sz w:val="24"/>
                <w:szCs w:val="24"/>
              </w:rPr>
            </w:pPr>
          </w:p>
        </w:tc>
        <w:tc>
          <w:tcPr>
            <w:tcW w:w="1080" w:type="dxa"/>
            <w:vMerge w:val="continue"/>
            <w:vAlign w:val="center"/>
          </w:tcPr>
          <w:p>
            <w:pPr>
              <w:widowControl/>
              <w:spacing w:line="300" w:lineRule="exact"/>
              <w:jc w:val="center"/>
              <w:rPr>
                <w:rFonts w:ascii="宋体" w:hAnsi="宋体" w:eastAsia="宋体" w:cs="宋体"/>
                <w:bCs/>
                <w:kern w:val="0"/>
                <w:sz w:val="24"/>
                <w:szCs w:val="24"/>
              </w:rPr>
            </w:pPr>
          </w:p>
        </w:tc>
        <w:tc>
          <w:tcPr>
            <w:tcW w:w="967"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企业员工专业素质情况（4分）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参加物业项目负责人专业培训比例不足60%的不得分，60%～80%的得1分，80%以上得2分。积极开展职工技能培训和鉴定，初级工以上员工比例按以上标准计分，分别为0、1、2分；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522" w:type="dxa"/>
            <w:gridSpan w:val="5"/>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企业经营信用信息标准（40分）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企业服务项目信息（20分）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按信用系统规定内容完整、准确、及时填报相关信息；3万平米（含3万）以下8分，3-5万平米（含5万）12分，5-10万平米（含10万）16分，10万平米以上20分；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填报项目总面积数。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承接查验      信息（10分）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所有项目均履行承接查验手续并符合接管条件后接管10分，缺一个不得分；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上传承接</w:t>
            </w:r>
          </w:p>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查验合格</w:t>
            </w:r>
          </w:p>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参与保障性住房、老旧小区等物业服务（5分）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3万平米（含3万）以下1分，3-5万平米（含5万）2分，5-10万平米（含10万）3分，10万平米以上5分。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729"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2047" w:type="dxa"/>
            <w:gridSpan w:val="2"/>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企业经营情况（5分）</w:t>
            </w:r>
          </w:p>
        </w:tc>
        <w:tc>
          <w:tcPr>
            <w:tcW w:w="361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按照经营年限计算，以工商注册后签订第一份物业服务合同开始计算，不足两年得1分，每加两年得1分，最高得5分。</w:t>
            </w:r>
          </w:p>
        </w:tc>
        <w:tc>
          <w:tcPr>
            <w:tcW w:w="2131" w:type="dxa"/>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上传服务合同</w:t>
            </w:r>
          </w:p>
        </w:tc>
      </w:tr>
    </w:tbl>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p>
    <w:p>
      <w:pPr>
        <w:widowControl/>
        <w:spacing w:line="300" w:lineRule="exact"/>
        <w:jc w:val="left"/>
        <w:rPr>
          <w:rFonts w:ascii="仿宋" w:hAnsi="仿宋" w:eastAsia="仿宋" w:cs="仿宋"/>
          <w:sz w:val="32"/>
          <w:szCs w:val="32"/>
        </w:rPr>
      </w:pPr>
      <w:r>
        <w:rPr>
          <w:rFonts w:hint="eastAsia" w:ascii="仿宋" w:hAnsi="仿宋" w:eastAsia="仿宋" w:cs="仿宋"/>
          <w:sz w:val="32"/>
          <w:szCs w:val="32"/>
        </w:rPr>
        <w:t>附件2</w:t>
      </w:r>
    </w:p>
    <w:p>
      <w:pPr>
        <w:widowControl/>
        <w:spacing w:line="360" w:lineRule="exact"/>
        <w:jc w:val="left"/>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r>
        <w:rPr>
          <w:rFonts w:hint="eastAsia" w:ascii="宋体" w:hAnsi="宋体" w:eastAsia="宋体" w:cs="宋体"/>
          <w:b/>
          <w:bCs/>
          <w:sz w:val="36"/>
          <w:szCs w:val="36"/>
        </w:rPr>
        <w:t>鄂尔多斯市物业服务企业优良信息评分表</w:t>
      </w:r>
    </w:p>
    <w:p>
      <w:pPr>
        <w:widowControl/>
        <w:spacing w:line="360" w:lineRule="exact"/>
        <w:jc w:val="center"/>
        <w:rPr>
          <w:rFonts w:ascii="宋体" w:hAnsi="宋体" w:eastAsia="宋体" w:cs="宋体"/>
          <w:b/>
          <w:bCs/>
          <w:sz w:val="36"/>
          <w:szCs w:val="36"/>
        </w:rPr>
      </w:pPr>
    </w:p>
    <w:tbl>
      <w:tblPr>
        <w:tblStyle w:val="9"/>
        <w:tblpPr w:leftFromText="180" w:rightFromText="180" w:vertAnchor="text"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2409"/>
        <w:gridCol w:w="311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17"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3260"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优良信息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817" w:type="dxa"/>
            <w:vMerge w:val="restart"/>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851"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企业、员工或项目获得表彰奖(分)</w:t>
            </w: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各级党委、政府的表彰信息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国家、自治区、盟市、旗县（市区）、乡苏木（街道办事处）表彰企业的按照5、4、3、2、1得分；表彰企业人员的同上得分；可累计得分；</w:t>
            </w:r>
          </w:p>
        </w:tc>
        <w:tc>
          <w:tcPr>
            <w:tcW w:w="1701"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相关表彰文件及奖牌、奖状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各级主管部门的表彰信息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国家、自治区、盟市、旗县（市区）表彰企业的按照4、3、2、1得分；表彰企业人员的同上得分；可累计得分；</w:t>
            </w:r>
          </w:p>
        </w:tc>
        <w:tc>
          <w:tcPr>
            <w:tcW w:w="1701" w:type="dxa"/>
            <w:vMerge w:val="continue"/>
            <w:vAlign w:val="center"/>
          </w:tcPr>
          <w:p>
            <w:pPr>
              <w:widowControl/>
              <w:spacing w:line="300" w:lineRule="exact"/>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各级物业管理协会的表彰信息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国家、自治区、盟市、旗县（市区）表彰企业的按照3、2、1、0.5得分；表彰企业人员的同上得分；可累计得分；</w:t>
            </w:r>
          </w:p>
        </w:tc>
        <w:tc>
          <w:tcPr>
            <w:tcW w:w="1701" w:type="dxa"/>
            <w:vMerge w:val="continue"/>
            <w:vAlign w:val="center"/>
          </w:tcPr>
          <w:p>
            <w:pPr>
              <w:widowControl/>
              <w:spacing w:line="300" w:lineRule="exact"/>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物业服务企业创优达标项目信息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获得国家示范、自治区示范、自治区优秀项目按照4、3、2得分，按照获奖项目数量累计加分；</w:t>
            </w:r>
          </w:p>
        </w:tc>
        <w:tc>
          <w:tcPr>
            <w:tcW w:w="1701" w:type="dxa"/>
            <w:vMerge w:val="continue"/>
            <w:vAlign w:val="center"/>
          </w:tcPr>
          <w:p>
            <w:pPr>
              <w:widowControl/>
              <w:spacing w:line="300" w:lineRule="exact"/>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817" w:type="dxa"/>
            <w:vMerge w:val="restart"/>
            <w:vAlign w:val="center"/>
          </w:tcPr>
          <w:p>
            <w:pPr>
              <w:widowControl/>
              <w:spacing w:line="300" w:lineRule="exact"/>
              <w:rPr>
                <w:rFonts w:ascii="宋体" w:hAnsi="宋体" w:eastAsia="宋体" w:cs="宋体"/>
                <w:bCs/>
                <w:kern w:val="0"/>
                <w:sz w:val="24"/>
                <w:szCs w:val="24"/>
              </w:rPr>
            </w:pPr>
          </w:p>
          <w:p>
            <w:pPr>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2</w:t>
            </w:r>
          </w:p>
        </w:tc>
        <w:tc>
          <w:tcPr>
            <w:tcW w:w="851"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重点工作落实到位(分)</w:t>
            </w: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各项工作记录档案信息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物业服务各项工作留有档案记录2分；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上传档案</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图片</w:t>
            </w:r>
          </w:p>
          <w:p>
            <w:pPr>
              <w:widowControl/>
              <w:spacing w:line="300" w:lineRule="exact"/>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遵守行业诚信自律信息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签署诚信承诺书2分；悬挂自治区行业自律牌匾2分；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诚信承诺书，自律牌匾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纳税额信息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按时足额纳税5分；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交税票据，可沟通税务甄别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八大内容等公示信息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在住宅小区、多业主非住宅项目显著位置公示八大项内容和项目联系人及电话等信息3分；</w:t>
            </w:r>
            <w:r>
              <w:rPr>
                <w:rFonts w:ascii="宋体" w:hAnsi="宋体" w:eastAsia="宋体" w:cs="宋体"/>
                <w:bCs/>
                <w:kern w:val="0"/>
                <w:sz w:val="24"/>
                <w:szCs w:val="24"/>
              </w:rPr>
              <w:t xml:space="preserve"> </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上传公示内容照片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财务公开信息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每半年财务公开1次（一月之内公开）上传一次得1分，最高2分；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上传财务公开照片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党建信息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每季度组织一次党员和积极分子党建学习会，宣传学习贯彻党的各项方针政策，上传一次得1分，最高得4分；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上传党建</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活动照片</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标准化服务信息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每年用心开展一项标准化服务，提高物业服务水平2分；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上传标准化服务内容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参与成立业主委员会信息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积极配合协助相关部门成立业主委员会，每次0.5分，最高得2分；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业主委员会成立文件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精神文明建设信息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参与社区精神文明活动，每次0.5分，最高得2分；</w:t>
            </w:r>
            <w:r>
              <w:rPr>
                <w:rFonts w:ascii="宋体" w:hAnsi="宋体" w:eastAsia="宋体" w:cs="宋体"/>
                <w:bCs/>
                <w:kern w:val="0"/>
                <w:sz w:val="24"/>
                <w:szCs w:val="24"/>
              </w:rPr>
              <w:t xml:space="preserve"> </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开展活动</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报道及照片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各项规章制度岗位职责监督检查职责信息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建立各项规章制度、岗位职责和监督管理职责3分；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岗位技能培训和职业道德培训等信息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每半年开展一次，一次1分，最高得2分；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上传培训</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各项应急预案信息</w:t>
            </w:r>
          </w:p>
        </w:tc>
        <w:tc>
          <w:tcPr>
            <w:tcW w:w="3119" w:type="dxa"/>
            <w:vAlign w:val="center"/>
          </w:tcPr>
          <w:p>
            <w:pPr>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制定消防、电、气、水、热、电梯、沙尘、大风、暴风雪、严寒等各项预案3分；每年进行消防和电梯困人日常演练2分；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上传预案及演练图片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其他圆满完成各级物业行政主管部门和行业协会交办的对本行业规范发展有积极意义的工作信息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每完成一次2分，最高得6分；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企业自行录入，主管部门行业协会甄别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3</w:t>
            </w:r>
          </w:p>
        </w:tc>
        <w:tc>
          <w:tcPr>
            <w:tcW w:w="851"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工作</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创新 创优</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降本增效(分)</w:t>
            </w:r>
          </w:p>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精细化服务信息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每年用心开展一项精细化服务，提高物业服务水平2分；</w:t>
            </w:r>
          </w:p>
        </w:tc>
        <w:tc>
          <w:tcPr>
            <w:tcW w:w="1701" w:type="dxa"/>
            <w:vAlign w:val="center"/>
          </w:tcPr>
          <w:p>
            <w:pPr>
              <w:spacing w:line="340" w:lineRule="exact"/>
              <w:rPr>
                <w:rFonts w:ascii="宋体" w:hAnsi="宋体" w:eastAsia="宋体" w:cs="宋体"/>
                <w:bCs/>
                <w:kern w:val="0"/>
                <w:sz w:val="24"/>
                <w:szCs w:val="24"/>
              </w:rPr>
            </w:pPr>
            <w:r>
              <w:rPr>
                <w:rFonts w:hint="eastAsia" w:ascii="宋体" w:hAnsi="宋体" w:eastAsia="宋体" w:cs="宋体"/>
                <w:bCs/>
                <w:kern w:val="0"/>
                <w:sz w:val="24"/>
                <w:szCs w:val="24"/>
              </w:rPr>
              <w:t>上传精细化服务内容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智能化服务信息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每年用心开展一项智能化服务，提高物业服务水平2分；</w:t>
            </w:r>
          </w:p>
        </w:tc>
        <w:tc>
          <w:tcPr>
            <w:tcW w:w="1701" w:type="dxa"/>
            <w:vAlign w:val="center"/>
          </w:tcPr>
          <w:p>
            <w:pPr>
              <w:spacing w:line="340" w:lineRule="exact"/>
              <w:rPr>
                <w:rFonts w:ascii="宋体" w:hAnsi="宋体" w:eastAsia="宋体" w:cs="宋体"/>
                <w:bCs/>
                <w:kern w:val="0"/>
                <w:sz w:val="24"/>
                <w:szCs w:val="24"/>
              </w:rPr>
            </w:pPr>
            <w:r>
              <w:rPr>
                <w:rFonts w:hint="eastAsia" w:ascii="宋体" w:hAnsi="宋体" w:eastAsia="宋体" w:cs="宋体"/>
                <w:bCs/>
                <w:kern w:val="0"/>
                <w:sz w:val="24"/>
                <w:szCs w:val="24"/>
              </w:rPr>
              <w:t>上传智能化服务内容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多种经营信息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 xml:space="preserve">积极开展多种经营，抵御经营风险2分； </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上传多种</w:t>
            </w:r>
          </w:p>
          <w:p>
            <w:pPr>
              <w:widowControl/>
              <w:spacing w:line="340" w:lineRule="exact"/>
              <w:rPr>
                <w:rFonts w:ascii="宋体" w:hAnsi="宋体" w:eastAsia="宋体" w:cs="宋体"/>
                <w:bCs/>
                <w:kern w:val="0"/>
                <w:sz w:val="24"/>
                <w:szCs w:val="24"/>
              </w:rPr>
            </w:pPr>
            <w:r>
              <w:rPr>
                <w:rFonts w:hint="eastAsia" w:ascii="宋体" w:hAnsi="宋体" w:eastAsia="宋体" w:cs="宋体"/>
                <w:bCs/>
                <w:kern w:val="0"/>
                <w:sz w:val="24"/>
                <w:szCs w:val="24"/>
              </w:rPr>
              <w:t>经营信息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物业服务企业通过质量管理体系（ISO）等体系认证的信息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通过一项认证2分，最高得4分；</w:t>
            </w:r>
          </w:p>
        </w:tc>
        <w:tc>
          <w:tcPr>
            <w:tcW w:w="1701" w:type="dxa"/>
            <w:vAlign w:val="center"/>
          </w:tcPr>
          <w:p>
            <w:pPr>
              <w:widowControl/>
              <w:spacing w:line="340" w:lineRule="exact"/>
              <w:rPr>
                <w:rFonts w:ascii="宋体" w:hAnsi="宋体" w:eastAsia="宋体" w:cs="宋体"/>
                <w:bCs/>
                <w:kern w:val="0"/>
                <w:sz w:val="24"/>
                <w:szCs w:val="24"/>
              </w:rPr>
            </w:pPr>
            <w:r>
              <w:rPr>
                <w:rFonts w:hint="eastAsia" w:ascii="宋体" w:hAnsi="宋体" w:eastAsia="宋体" w:cs="宋体"/>
                <w:bCs/>
                <w:kern w:val="0"/>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4</w:t>
            </w:r>
          </w:p>
        </w:tc>
        <w:tc>
          <w:tcPr>
            <w:tcW w:w="851"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其他优良信息(分)</w:t>
            </w: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作为正面典型被新闻媒体报道信息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国家自治区媒体报道2分，盟市及旗县媒体报道1分；</w:t>
            </w:r>
            <w:r>
              <w:rPr>
                <w:rFonts w:ascii="宋体" w:hAnsi="宋体" w:eastAsia="宋体" w:cs="宋体"/>
                <w:bCs/>
                <w:kern w:val="0"/>
                <w:sz w:val="24"/>
                <w:szCs w:val="24"/>
              </w:rPr>
              <w:t xml:space="preserve"> </w:t>
            </w:r>
          </w:p>
        </w:tc>
        <w:tc>
          <w:tcPr>
            <w:tcW w:w="1701" w:type="dxa"/>
            <w:vAlign w:val="center"/>
          </w:tcPr>
          <w:p>
            <w:pPr>
              <w:widowControl/>
              <w:spacing w:line="340" w:lineRule="exact"/>
              <w:rPr>
                <w:rFonts w:ascii="宋体" w:hAnsi="宋体" w:eastAsia="宋体" w:cs="宋体"/>
                <w:bCs/>
                <w:kern w:val="0"/>
                <w:sz w:val="24"/>
                <w:szCs w:val="24"/>
              </w:rPr>
            </w:pPr>
            <w:r>
              <w:rPr>
                <w:rFonts w:hint="eastAsia" w:ascii="宋体" w:hAnsi="宋体" w:eastAsia="宋体" w:cs="宋体"/>
                <w:bCs/>
                <w:kern w:val="0"/>
                <w:sz w:val="24"/>
                <w:szCs w:val="24"/>
              </w:rPr>
              <w:t>报道媒体及报 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业主满意度调查信息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每年进行一次业主满意度调查，并根据调查结果提出整改方案4分；</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聘用下岗残疾人信息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每聘用一人0.5分；</w:t>
            </w:r>
            <w:r>
              <w:rPr>
                <w:rFonts w:ascii="宋体" w:hAnsi="宋体" w:eastAsia="宋体" w:cs="宋体"/>
                <w:bCs/>
                <w:kern w:val="0"/>
                <w:sz w:val="24"/>
                <w:szCs w:val="24"/>
              </w:rPr>
              <w:t xml:space="preserve"> </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上传聘用合同 及被聘用人的残疾证说明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回报社会开展的扶贫等公益事业信息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参加扶贫公益活动一次3分；</w:t>
            </w:r>
            <w:r>
              <w:rPr>
                <w:rFonts w:ascii="宋体" w:hAnsi="宋体" w:eastAsia="宋体" w:cs="宋体"/>
                <w:bCs/>
                <w:kern w:val="0"/>
                <w:sz w:val="24"/>
                <w:szCs w:val="24"/>
              </w:rPr>
              <w:t xml:space="preserve"> </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企业自行录入，  主管部门行业协会甄别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17" w:type="dxa"/>
            <w:vMerge w:val="continue"/>
            <w:vAlign w:val="center"/>
          </w:tcPr>
          <w:p>
            <w:pPr>
              <w:widowControl/>
              <w:spacing w:line="300" w:lineRule="exact"/>
              <w:rPr>
                <w:rFonts w:ascii="宋体" w:hAnsi="宋体" w:eastAsia="宋体" w:cs="宋体"/>
                <w:bCs/>
                <w:kern w:val="0"/>
                <w:sz w:val="24"/>
                <w:szCs w:val="24"/>
              </w:rPr>
            </w:pPr>
          </w:p>
        </w:tc>
        <w:tc>
          <w:tcPr>
            <w:tcW w:w="851" w:type="dxa"/>
            <w:vMerge w:val="continue"/>
            <w:vAlign w:val="center"/>
          </w:tcPr>
          <w:p>
            <w:pPr>
              <w:widowControl/>
              <w:spacing w:line="300" w:lineRule="exact"/>
              <w:rPr>
                <w:rFonts w:ascii="宋体" w:hAnsi="宋体" w:eastAsia="宋体" w:cs="宋体"/>
                <w:bCs/>
                <w:kern w:val="0"/>
                <w:sz w:val="24"/>
                <w:szCs w:val="24"/>
              </w:rPr>
            </w:pPr>
          </w:p>
        </w:tc>
        <w:tc>
          <w:tcPr>
            <w:tcW w:w="240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加入各级协会信息</w:t>
            </w:r>
          </w:p>
        </w:tc>
        <w:tc>
          <w:tcPr>
            <w:tcW w:w="3119"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加入国家、自治区、盟市、旗县（市区）协会的企业按照4、3、2、1得分，未加入任何一级协会的不得分，按照最高分值得分，不累计；</w:t>
            </w:r>
          </w:p>
        </w:tc>
        <w:tc>
          <w:tcPr>
            <w:tcW w:w="1701"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会员证书</w:t>
            </w:r>
          </w:p>
        </w:tc>
      </w:tr>
    </w:tbl>
    <w:p>
      <w:pPr>
        <w:widowControl/>
        <w:spacing w:line="360" w:lineRule="exact"/>
        <w:jc w:val="left"/>
        <w:rPr>
          <w:rFonts w:ascii="??_GB2312" w:hAnsi="??_GB2312" w:eastAsia="宋体" w:cs="??_GB2312"/>
          <w:color w:val="000000"/>
          <w:kern w:val="0"/>
          <w:sz w:val="24"/>
          <w:szCs w:val="24"/>
        </w:rPr>
      </w:pPr>
    </w:p>
    <w:p>
      <w:pPr>
        <w:widowControl/>
        <w:spacing w:line="360" w:lineRule="exact"/>
        <w:jc w:val="left"/>
        <w:rPr>
          <w:rFonts w:ascii="??_GB2312" w:hAnsi="??_GB2312" w:eastAsia="宋体" w:cs="??_GB2312"/>
          <w:color w:val="000000"/>
          <w:kern w:val="0"/>
          <w:sz w:val="24"/>
          <w:szCs w:val="24"/>
        </w:rPr>
      </w:pPr>
      <w:r>
        <w:rPr>
          <w:rFonts w:hint="eastAsia" w:ascii="??_GB2312" w:hAnsi="??_GB2312" w:eastAsia="宋体" w:cs="??_GB2312"/>
          <w:color w:val="000000"/>
          <w:kern w:val="0"/>
          <w:sz w:val="24"/>
          <w:szCs w:val="24"/>
        </w:rPr>
        <w:t>备注：以上信息由企业自行录入，并提交相关证明材料，各级物业行政主管部门、行业协会逐级审核上报。</w:t>
      </w: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60" w:lineRule="exact"/>
        <w:jc w:val="center"/>
        <w:rPr>
          <w:rFonts w:ascii="宋体" w:hAnsi="宋体" w:eastAsia="宋体" w:cs="宋体"/>
          <w:b/>
          <w:bCs/>
          <w:sz w:val="36"/>
          <w:szCs w:val="36"/>
        </w:rPr>
      </w:pPr>
    </w:p>
    <w:p>
      <w:pPr>
        <w:widowControl/>
        <w:spacing w:line="300" w:lineRule="exact"/>
        <w:jc w:val="left"/>
        <w:rPr>
          <w:rFonts w:ascii="仿宋" w:hAnsi="仿宋" w:eastAsia="仿宋" w:cs="仿宋"/>
          <w:sz w:val="32"/>
          <w:szCs w:val="32"/>
        </w:rPr>
      </w:pPr>
      <w:r>
        <w:rPr>
          <w:rFonts w:hint="eastAsia" w:ascii="仿宋" w:hAnsi="仿宋" w:eastAsia="仿宋" w:cs="仿宋"/>
          <w:sz w:val="32"/>
          <w:szCs w:val="32"/>
        </w:rPr>
        <w:t>附件3</w:t>
      </w:r>
    </w:p>
    <w:p>
      <w:pPr>
        <w:widowControl/>
        <w:spacing w:line="360" w:lineRule="exact"/>
        <w:rPr>
          <w:rFonts w:ascii="宋体" w:hAnsi="宋体" w:eastAsia="宋体" w:cs="宋体"/>
          <w:sz w:val="36"/>
          <w:szCs w:val="36"/>
        </w:rPr>
      </w:pPr>
    </w:p>
    <w:p>
      <w:pPr>
        <w:widowControl/>
        <w:spacing w:line="360" w:lineRule="exact"/>
        <w:jc w:val="center"/>
        <w:rPr>
          <w:rFonts w:ascii="宋体" w:hAnsi="宋体" w:eastAsia="宋体" w:cs="宋体"/>
          <w:b/>
          <w:bCs/>
          <w:sz w:val="36"/>
          <w:szCs w:val="36"/>
        </w:rPr>
      </w:pPr>
      <w:r>
        <w:rPr>
          <w:rFonts w:hint="eastAsia" w:ascii="宋体" w:hAnsi="宋体" w:eastAsia="宋体" w:cs="宋体"/>
          <w:b/>
          <w:bCs/>
          <w:sz w:val="36"/>
          <w:szCs w:val="36"/>
        </w:rPr>
        <w:t>鄂尔多斯市物业服务企业不良信息评分表</w:t>
      </w:r>
    </w:p>
    <w:p>
      <w:pPr>
        <w:widowControl/>
        <w:spacing w:line="360" w:lineRule="exact"/>
        <w:jc w:val="center"/>
        <w:rPr>
          <w:rFonts w:ascii="仿宋" w:hAnsi="仿宋" w:eastAsia="仿宋" w:cs="仿宋"/>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70"/>
        <w:gridCol w:w="30"/>
        <w:gridCol w:w="2305"/>
        <w:gridCol w:w="141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不良信用信息</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2885" w:type="dxa"/>
            <w:vAlign w:val="center"/>
          </w:tcPr>
          <w:p>
            <w:pPr>
              <w:widowControl/>
              <w:spacing w:line="360" w:lineRule="exact"/>
              <w:jc w:val="center"/>
              <w:rPr>
                <w:rFonts w:ascii="黑体" w:hAnsi="黑体" w:eastAsia="黑体" w:cs="黑体"/>
                <w:color w:val="000000"/>
                <w:kern w:val="0"/>
                <w:sz w:val="24"/>
                <w:szCs w:val="24"/>
              </w:rPr>
            </w:pPr>
            <w:r>
              <w:rPr>
                <w:rFonts w:hint="eastAsia" w:ascii="宋体" w:hAnsi="宋体" w:eastAsia="宋体" w:cs="宋体"/>
                <w:bCs/>
                <w:kern w:val="0"/>
                <w:sz w:val="24"/>
                <w:szCs w:val="24"/>
              </w:rPr>
              <w:t>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522" w:type="dxa"/>
            <w:gridSpan w:val="6"/>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重大不良信息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因物业服务企业过错造成的重大安全生产事故、群体性事件、重大舆情等；</w:t>
            </w:r>
          </w:p>
        </w:tc>
        <w:tc>
          <w:tcPr>
            <w:tcW w:w="1418" w:type="dxa"/>
            <w:vMerge w:val="restart"/>
            <w:vAlign w:val="center"/>
          </w:tcPr>
          <w:p>
            <w:pPr>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一票否决计入黑名单</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 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 xml:space="preserve"> 2</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在物业管理招标投标活动中提供虚假信息，骗取中标的；</w:t>
            </w:r>
          </w:p>
        </w:tc>
        <w:tc>
          <w:tcPr>
            <w:tcW w:w="1418" w:type="dxa"/>
            <w:vMerge w:val="continue"/>
            <w:vAlign w:val="center"/>
          </w:tcPr>
          <w:p>
            <w:pPr>
              <w:spacing w:line="300" w:lineRule="exact"/>
              <w:rPr>
                <w:rFonts w:ascii="宋体" w:hAnsi="宋体" w:eastAsia="宋体" w:cs="宋体"/>
                <w:bCs/>
                <w:kern w:val="0"/>
                <w:sz w:val="24"/>
                <w:szCs w:val="24"/>
              </w:rPr>
            </w:pP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 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3</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物业服务合同依法解除或者终止后拒不撤出物业管理区域，撤出时未按照规定办理交接手续，或者未按照规定移交资料，造成物业管理混乱的；因承接和交接双方原因，在交接过程中发生混乱，并造成严重社会稳定事件的；</w:t>
            </w:r>
          </w:p>
        </w:tc>
        <w:tc>
          <w:tcPr>
            <w:tcW w:w="1418" w:type="dxa"/>
            <w:vMerge w:val="continue"/>
            <w:vAlign w:val="center"/>
          </w:tcPr>
          <w:p>
            <w:pPr>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4</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未按照规定和合同约定行房屋安全监管义务，导致物业管理区域内发生重大房屋安全事故的；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5</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以盈利为目的的大量贩卖业主信息；</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6</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对业主、业主委员会委员进行恶意骚扰，采取暴力行为或者打击报复的；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7</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违反行业自律准则破坏行业市场秩序、损害行业利益情节严重的；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 事实依据或者行业协会通报文件收录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8</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挪用、骗取、套用住宅专项维修资金的；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9</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违规强行接管项目造成严重后果的；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10</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企业或企业主要负责人（董事长、总经理、法定代表人等）通过人民法院司法程序认定，被列入失信被执行人名单的；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11</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存在重大安全隐患拒不整改的；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12</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信用等级为丁级拒绝整改的；</w:t>
            </w:r>
          </w:p>
          <w:p>
            <w:pPr>
              <w:widowControl/>
              <w:spacing w:line="300" w:lineRule="exact"/>
              <w:rPr>
                <w:rFonts w:ascii="宋体" w:hAnsi="宋体" w:eastAsia="宋体" w:cs="宋体"/>
                <w:bCs/>
                <w:kern w:val="0"/>
                <w:sz w:val="24"/>
                <w:szCs w:val="24"/>
              </w:rPr>
            </w:pP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13</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申报信用标准信息和评级材料弄虚作假的；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14</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其他严重不良行为的；</w:t>
            </w:r>
          </w:p>
        </w:tc>
        <w:tc>
          <w:tcPr>
            <w:tcW w:w="1418" w:type="dxa"/>
            <w:vMerge w:val="continue"/>
            <w:vAlign w:val="center"/>
          </w:tcPr>
          <w:p>
            <w:pPr>
              <w:widowControl/>
              <w:spacing w:line="300" w:lineRule="exact"/>
              <w:rPr>
                <w:rFonts w:ascii="宋体" w:hAnsi="宋体" w:eastAsia="宋体" w:cs="宋体"/>
                <w:bCs/>
                <w:kern w:val="0"/>
                <w:sz w:val="24"/>
                <w:szCs w:val="24"/>
              </w:rPr>
            </w:pPr>
          </w:p>
        </w:tc>
        <w:tc>
          <w:tcPr>
            <w:tcW w:w="2885" w:type="dxa"/>
            <w:vAlign w:val="center"/>
          </w:tcPr>
          <w:p>
            <w:pPr>
              <w:widowControl/>
              <w:spacing w:line="300" w:lineRule="exact"/>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522" w:type="dxa"/>
            <w:gridSpan w:val="6"/>
            <w:vAlign w:val="center"/>
          </w:tcPr>
          <w:p>
            <w:pPr>
              <w:widowControl/>
              <w:spacing w:line="30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一般不良信息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4"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3505" w:type="dxa"/>
            <w:gridSpan w:val="3"/>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不良信用信息</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288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714"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1</w:t>
            </w:r>
          </w:p>
        </w:tc>
        <w:tc>
          <w:tcPr>
            <w:tcW w:w="1200" w:type="dxa"/>
            <w:gridSpan w:val="2"/>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行业监管不良信息</w:t>
            </w:r>
          </w:p>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人民法院、仲裁机构生效的判决书或裁决书，确认物业服务企业因过错承担责任的情况；</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每一案件</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w:t>
            </w:r>
            <w:r>
              <w:rPr>
                <w:rFonts w:ascii="宋体" w:hAnsi="宋体" w:eastAsia="宋体" w:cs="宋体"/>
                <w:bCs/>
                <w:kern w:val="0"/>
                <w:sz w:val="24"/>
                <w:szCs w:val="24"/>
              </w:rPr>
              <w:t>2</w:t>
            </w:r>
            <w:r>
              <w:rPr>
                <w:rFonts w:hint="eastAsia" w:ascii="宋体" w:hAnsi="宋体" w:eastAsia="宋体" w:cs="宋体"/>
                <w:bCs/>
                <w:kern w:val="0"/>
                <w:sz w:val="24"/>
                <w:szCs w:val="24"/>
              </w:rPr>
              <w:t>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各级政府及主管部门的行政处罚决定等；</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每次处罚</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扣3分；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按照文件决定收录或者企业自行录入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各级行业协会的通报批评；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每次处罚</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扣2分；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按照文件决定收录或者企业自行录入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各级主管部门在日常执法检查中查处的物业服务企业违法违规行为，以及物业服务企业不履行物业服务合同；</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每发现一</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次扣2分；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经查实且在规定期限内 未妥善解决的投诉举报、媒体曝光等；</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每次事件</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扣5分；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在盟市组织的物业服务质量考核中发现的物业经营服务中的不足和问题；</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每发现一个问题扣1分；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200" w:type="dxa"/>
            <w:gridSpan w:val="2"/>
            <w:vMerge w:val="continue"/>
            <w:vAlign w:val="center"/>
          </w:tcPr>
          <w:p>
            <w:pPr>
              <w:widowControl/>
              <w:spacing w:line="300" w:lineRule="exact"/>
              <w:rPr>
                <w:rFonts w:ascii="宋体" w:hAnsi="宋体" w:eastAsia="宋体" w:cs="宋体"/>
                <w:bCs/>
                <w:kern w:val="0"/>
                <w:sz w:val="24"/>
                <w:szCs w:val="24"/>
              </w:rPr>
            </w:pPr>
          </w:p>
        </w:tc>
        <w:tc>
          <w:tcPr>
            <w:tcW w:w="2305"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在物业管理活动中，违反法律法规规定、合同约定、职业道德、诚实信用原则；违反约定或提供虚假信息未造成重大不良影响的；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每发现一次扣2分；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714" w:type="dxa"/>
            <w:vMerge w:val="restart"/>
            <w:vAlign w:val="center"/>
          </w:tcPr>
          <w:p>
            <w:pPr>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2</w:t>
            </w:r>
          </w:p>
        </w:tc>
        <w:tc>
          <w:tcPr>
            <w:tcW w:w="1170" w:type="dxa"/>
            <w:vMerge w:val="restart"/>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日常经营服务不良信息</w:t>
            </w: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未按照协议约定及时退还装修保证金及其它应退还费用的；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每发现一</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次扣2分；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由盟市物业行政主管部门或行业协会按照投诉内容查实后录入或者企业自行录入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企业将一个物业管理区域内的全部物业管理业务一并委托给他人的；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扣10分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擅自改变物业管理用房用途的；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扣10分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擅自利用物业共用部位、共用设施设备进行经营的；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扣10分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由各级物业行政主管部门、行业协会按照事实依据收录或者企业自行扣录入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擅自改变物业管理区域内按照规划建设的公共建筑和共用设施用途的；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扣10分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由各级物业行政主管部门、行业协会按照事实依据收录或者企业自行扣录入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存在安全隐患逾期</w:t>
            </w:r>
          </w:p>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未整改的；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扣10分</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14" w:type="dxa"/>
            <w:vMerge w:val="continue"/>
            <w:vAlign w:val="center"/>
          </w:tcPr>
          <w:p>
            <w:pPr>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利用断水、断电、禁止进入小区等手段收取物业费的；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每次扣3分，上不封顶</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由盟市物业行政主管部门或行业协会按照投诉内容查实后录入或者企业自行录入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14" w:type="dxa"/>
            <w:vMerge w:val="continue"/>
            <w:vAlign w:val="center"/>
          </w:tcPr>
          <w:p>
            <w:pPr>
              <w:widowControl/>
              <w:spacing w:line="300" w:lineRule="exact"/>
              <w:rPr>
                <w:rFonts w:ascii="宋体" w:hAnsi="宋体" w:eastAsia="宋体" w:cs="宋体"/>
                <w:bCs/>
                <w:kern w:val="0"/>
                <w:sz w:val="24"/>
                <w:szCs w:val="24"/>
              </w:rPr>
            </w:pPr>
          </w:p>
        </w:tc>
        <w:tc>
          <w:tcPr>
            <w:tcW w:w="1170" w:type="dxa"/>
            <w:vMerge w:val="continue"/>
            <w:vAlign w:val="center"/>
          </w:tcPr>
          <w:p>
            <w:pPr>
              <w:widowControl/>
              <w:spacing w:line="300" w:lineRule="exact"/>
              <w:rPr>
                <w:rFonts w:ascii="宋体" w:hAnsi="宋体" w:eastAsia="宋体" w:cs="宋体"/>
                <w:bCs/>
                <w:kern w:val="0"/>
                <w:sz w:val="24"/>
                <w:szCs w:val="24"/>
              </w:rPr>
            </w:pPr>
          </w:p>
        </w:tc>
        <w:tc>
          <w:tcPr>
            <w:tcW w:w="2335" w:type="dxa"/>
            <w:gridSpan w:val="2"/>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其他违反物业服务合同、职业道德、诚实信用原则，违反约定或提供虚假信息未造成重大不良影响的；</w:t>
            </w:r>
          </w:p>
        </w:tc>
        <w:tc>
          <w:tcPr>
            <w:tcW w:w="1418" w:type="dxa"/>
            <w:vAlign w:val="center"/>
          </w:tcPr>
          <w:p>
            <w:pPr>
              <w:widowControl/>
              <w:spacing w:line="300" w:lineRule="exact"/>
              <w:rPr>
                <w:rFonts w:ascii="宋体" w:hAnsi="宋体" w:eastAsia="宋体" w:cs="宋体"/>
                <w:bCs/>
                <w:kern w:val="0"/>
                <w:sz w:val="24"/>
                <w:szCs w:val="24"/>
              </w:rPr>
            </w:pPr>
            <w:r>
              <w:rPr>
                <w:rFonts w:hint="eastAsia" w:ascii="宋体" w:hAnsi="宋体" w:eastAsia="宋体" w:cs="宋体"/>
                <w:bCs/>
                <w:kern w:val="0"/>
                <w:sz w:val="24"/>
                <w:szCs w:val="24"/>
              </w:rPr>
              <w:t>每次扣2分，上不封顶</w:t>
            </w:r>
          </w:p>
        </w:tc>
        <w:tc>
          <w:tcPr>
            <w:tcW w:w="2885" w:type="dxa"/>
            <w:vAlign w:val="center"/>
          </w:tcPr>
          <w:p>
            <w:pPr>
              <w:widowControl/>
              <w:spacing w:line="360" w:lineRule="exact"/>
              <w:jc w:val="center"/>
              <w:rPr>
                <w:rFonts w:ascii="??_GB2312" w:hAnsi="??_GB2312" w:eastAsia="宋体" w:cs="??_GB2312"/>
                <w:color w:val="000000"/>
                <w:kern w:val="0"/>
                <w:sz w:val="24"/>
                <w:szCs w:val="24"/>
              </w:rPr>
            </w:pPr>
            <w:r>
              <w:rPr>
                <w:rFonts w:hint="eastAsia" w:ascii="宋体" w:hAnsi="宋体" w:eastAsia="宋体" w:cs="宋体"/>
                <w:bCs/>
                <w:kern w:val="0"/>
                <w:sz w:val="24"/>
                <w:szCs w:val="24"/>
              </w:rPr>
              <w:t>由各级物业行政主管部门、行业协会按照事实依据收录或者企业自行录入</w:t>
            </w:r>
          </w:p>
        </w:tc>
      </w:tr>
    </w:tbl>
    <w:p>
      <w:pPr>
        <w:widowControl/>
        <w:spacing w:line="360" w:lineRule="exact"/>
        <w:jc w:val="left"/>
        <w:rPr>
          <w:rFonts w:ascii="??_GB2312" w:hAnsi="??_GB2312" w:eastAsia="宋体" w:cs="??_GB2312"/>
          <w:color w:val="000000"/>
          <w:kern w:val="0"/>
          <w:sz w:val="24"/>
          <w:szCs w:val="24"/>
        </w:rPr>
      </w:pPr>
    </w:p>
    <w:p>
      <w:pPr>
        <w:widowControl/>
        <w:spacing w:line="360" w:lineRule="exact"/>
        <w:jc w:val="left"/>
        <w:rPr>
          <w:rFonts w:ascii="??_GB2312" w:hAnsi="??_GB2312" w:eastAsia="宋体" w:cs="??_GB2312"/>
          <w:color w:val="000000"/>
          <w:kern w:val="0"/>
          <w:sz w:val="24"/>
          <w:szCs w:val="24"/>
        </w:rPr>
      </w:pPr>
      <w:r>
        <w:rPr>
          <w:rFonts w:hint="eastAsia" w:ascii="??_GB2312" w:hAnsi="??_GB2312" w:eastAsia="宋体" w:cs="??_GB2312"/>
          <w:color w:val="000000"/>
          <w:kern w:val="0"/>
          <w:sz w:val="24"/>
          <w:szCs w:val="24"/>
        </w:rPr>
        <w:t>备注：不良信息由事件发生所在物业行政主管部门或者行业协会即时录入或企业主动申报。以上减分项目按最高原则减分，同一事件不重复计分。企业主动申报不良信息（严重不良信息除外），按80%计算应减分值。</w:t>
      </w:r>
    </w:p>
    <w:sectPr>
      <w:footerReference r:id="rId3" w:type="default"/>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B6"/>
    <w:rsid w:val="00044308"/>
    <w:rsid w:val="00197C2B"/>
    <w:rsid w:val="001A7224"/>
    <w:rsid w:val="00295565"/>
    <w:rsid w:val="002D6CD4"/>
    <w:rsid w:val="002E4F77"/>
    <w:rsid w:val="003254B3"/>
    <w:rsid w:val="00384A1B"/>
    <w:rsid w:val="00493B49"/>
    <w:rsid w:val="004A1642"/>
    <w:rsid w:val="005950EF"/>
    <w:rsid w:val="00660CFA"/>
    <w:rsid w:val="00690D30"/>
    <w:rsid w:val="006F74C9"/>
    <w:rsid w:val="007C1284"/>
    <w:rsid w:val="00921C50"/>
    <w:rsid w:val="00A93870"/>
    <w:rsid w:val="00AE192B"/>
    <w:rsid w:val="00AE74FA"/>
    <w:rsid w:val="00B150C5"/>
    <w:rsid w:val="00B33738"/>
    <w:rsid w:val="00BA7DA2"/>
    <w:rsid w:val="00BB5E7E"/>
    <w:rsid w:val="00CC225A"/>
    <w:rsid w:val="00CE2696"/>
    <w:rsid w:val="00CF0A15"/>
    <w:rsid w:val="00D504B6"/>
    <w:rsid w:val="00D512ED"/>
    <w:rsid w:val="00E47040"/>
    <w:rsid w:val="00E701B6"/>
    <w:rsid w:val="72EA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文字 Char"/>
    <w:basedOn w:val="6"/>
    <w:link w:val="2"/>
    <w:semiHidden/>
    <w:uiPriority w:val="99"/>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ECBC9-9347-49C9-BBEA-ECD66951CE96}">
  <ds:schemaRefs/>
</ds:datastoreItem>
</file>

<file path=docProps/app.xml><?xml version="1.0" encoding="utf-8"?>
<Properties xmlns="http://schemas.openxmlformats.org/officeDocument/2006/extended-properties" xmlns:vt="http://schemas.openxmlformats.org/officeDocument/2006/docPropsVTypes">
  <Template>Normal</Template>
  <Pages>9</Pages>
  <Words>699</Words>
  <Characters>3985</Characters>
  <Lines>33</Lines>
  <Paragraphs>9</Paragraphs>
  <TotalTime>386</TotalTime>
  <ScaleCrop>false</ScaleCrop>
  <LinksUpToDate>false</LinksUpToDate>
  <CharactersWithSpaces>4675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2019-01-16T07:02:00Z</dcterms:created>
  <dc:creator>su</dc:creator>
  <cp:lastModifiedBy>tt</cp:lastModifiedBy>
  <dcterms:modified xsi:type="dcterms:W3CDTF">2019-07-09T03:06:30Z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